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8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5331"/>
        <w:gridCol w:w="2476"/>
      </w:tblGrid>
      <w:tr w:rsidR="00593282" w:rsidTr="00614589">
        <w:trPr>
          <w:trHeight w:val="1118"/>
        </w:trPr>
        <w:tc>
          <w:tcPr>
            <w:tcW w:w="895" w:type="pct"/>
            <w:vAlign w:val="bottom"/>
            <w:hideMark/>
          </w:tcPr>
          <w:p w:rsidR="00593282" w:rsidRDefault="00A31A8A" w:rsidP="00FD21D1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971550" cy="733425"/>
                  <wp:effectExtent l="0" t="0" r="0" b="9525"/>
                  <wp:docPr id="1" name="Bild 1" descr="Die Link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Link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pct"/>
            <w:vAlign w:val="bottom"/>
          </w:tcPr>
          <w:p w:rsidR="00245B21" w:rsidRPr="00542BE3" w:rsidRDefault="00593282" w:rsidP="00FD21D1">
            <w:pPr>
              <w:pStyle w:val="Kopfzeile"/>
              <w:rPr>
                <w:b/>
                <w:sz w:val="32"/>
                <w:szCs w:val="32"/>
                <w:lang w:val="de-DE" w:eastAsia="de-DE"/>
              </w:rPr>
            </w:pPr>
            <w:r w:rsidRPr="00542BE3">
              <w:rPr>
                <w:b/>
                <w:sz w:val="32"/>
                <w:szCs w:val="32"/>
                <w:lang w:val="de-DE" w:eastAsia="de-DE"/>
              </w:rPr>
              <w:t>Ratsfraktion</w:t>
            </w:r>
            <w:r w:rsidR="00245B21" w:rsidRPr="00542BE3">
              <w:rPr>
                <w:b/>
                <w:sz w:val="32"/>
                <w:szCs w:val="32"/>
                <w:lang w:val="de-DE" w:eastAsia="de-DE"/>
              </w:rPr>
              <w:t xml:space="preserve"> </w:t>
            </w:r>
          </w:p>
          <w:p w:rsidR="00593282" w:rsidRPr="00542BE3" w:rsidRDefault="00245B21" w:rsidP="00FD21D1">
            <w:pPr>
              <w:pStyle w:val="Kopfzeile"/>
              <w:rPr>
                <w:b/>
                <w:sz w:val="32"/>
                <w:szCs w:val="32"/>
                <w:lang w:val="de-DE" w:eastAsia="de-DE"/>
              </w:rPr>
            </w:pPr>
            <w:r w:rsidRPr="00542BE3">
              <w:rPr>
                <w:b/>
                <w:sz w:val="32"/>
                <w:szCs w:val="32"/>
                <w:lang w:val="de-DE" w:eastAsia="de-DE"/>
              </w:rPr>
              <w:t>Die Linke</w:t>
            </w:r>
          </w:p>
        </w:tc>
        <w:tc>
          <w:tcPr>
            <w:tcW w:w="1302" w:type="pct"/>
            <w:vAlign w:val="bottom"/>
          </w:tcPr>
          <w:p w:rsidR="00593282" w:rsidRPr="00542BE3" w:rsidRDefault="00593282" w:rsidP="00FD21D1">
            <w:pPr>
              <w:pStyle w:val="Kopfzeile"/>
              <w:jc w:val="right"/>
              <w:rPr>
                <w:sz w:val="52"/>
                <w:lang w:val="de-DE" w:eastAsia="de-DE"/>
              </w:rPr>
            </w:pPr>
            <w:r w:rsidRPr="00542BE3">
              <w:rPr>
                <w:sz w:val="32"/>
                <w:szCs w:val="32"/>
                <w:lang w:val="de-DE" w:eastAsia="de-DE"/>
              </w:rPr>
              <w:fldChar w:fldCharType="begin"/>
            </w:r>
            <w:r w:rsidRPr="00542BE3">
              <w:rPr>
                <w:sz w:val="32"/>
                <w:szCs w:val="32"/>
                <w:lang w:val="de-DE" w:eastAsia="de-DE"/>
              </w:rPr>
              <w:instrText xml:space="preserve"> MERGEFIELD VOCDAT \* MERGEFORMAT </w:instrText>
            </w:r>
            <w:r w:rsidRPr="00542BE3">
              <w:rPr>
                <w:sz w:val="32"/>
                <w:szCs w:val="32"/>
                <w:lang w:val="de-DE" w:eastAsia="de-DE"/>
              </w:rPr>
              <w:fldChar w:fldCharType="separate"/>
            </w:r>
            <w:r w:rsidR="00F82764" w:rsidRPr="00F82764">
              <w:rPr>
                <w:noProof/>
                <w:sz w:val="32"/>
                <w:szCs w:val="32"/>
                <w:lang w:val="de-DE" w:eastAsia="de-DE"/>
              </w:rPr>
              <w:t>24.10.2017</w:t>
            </w:r>
            <w:r w:rsidRPr="00542BE3">
              <w:rPr>
                <w:sz w:val="32"/>
                <w:szCs w:val="32"/>
                <w:lang w:val="de-DE" w:eastAsia="de-DE"/>
              </w:rPr>
              <w:fldChar w:fldCharType="end"/>
            </w:r>
          </w:p>
        </w:tc>
      </w:tr>
    </w:tbl>
    <w:p w:rsidR="004B5C24" w:rsidRDefault="004B5C24" w:rsidP="00524E63">
      <w:pPr>
        <w:tabs>
          <w:tab w:val="right" w:pos="9072"/>
        </w:tabs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1499"/>
        <w:gridCol w:w="4055"/>
        <w:gridCol w:w="2422"/>
      </w:tblGrid>
      <w:tr w:rsidR="00E15436" w:rsidTr="0032173D">
        <w:trPr>
          <w:trHeight w:val="906"/>
        </w:trPr>
        <w:tc>
          <w:tcPr>
            <w:tcW w:w="3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4" w:rsidRDefault="0009458F" w:rsidP="00A7363C">
            <w:pPr>
              <w:tabs>
                <w:tab w:val="right" w:pos="9072"/>
              </w:tabs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An</w:t>
            </w:r>
            <w:r w:rsidR="00D566A1">
              <w:rPr>
                <w:b/>
                <w:sz w:val="32"/>
              </w:rPr>
              <w:t>trag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4" w:rsidRPr="00542BE3" w:rsidRDefault="005756F4" w:rsidP="00640A5A">
            <w:pPr>
              <w:pStyle w:val="Kopfzeile"/>
              <w:tabs>
                <w:tab w:val="clear" w:pos="4536"/>
              </w:tabs>
              <w:spacing w:before="120" w:after="120"/>
              <w:ind w:left="120"/>
              <w:rPr>
                <w:b/>
                <w:sz w:val="32"/>
                <w:lang w:val="de-DE" w:eastAsia="de-DE"/>
              </w:rPr>
            </w:pPr>
            <w:r w:rsidRPr="00542BE3">
              <w:rPr>
                <w:b/>
                <w:sz w:val="32"/>
                <w:lang w:val="de-DE" w:eastAsia="de-DE"/>
              </w:rPr>
              <w:fldChar w:fldCharType="begin"/>
            </w:r>
            <w:r w:rsidRPr="00542BE3">
              <w:rPr>
                <w:b/>
                <w:sz w:val="32"/>
                <w:lang w:val="de-DE" w:eastAsia="de-DE"/>
              </w:rPr>
              <w:instrText xml:space="preserve"> MERGEFIELD VONAME \* MERGEFORMAT </w:instrText>
            </w:r>
            <w:r w:rsidRPr="00542BE3">
              <w:rPr>
                <w:b/>
                <w:sz w:val="32"/>
                <w:lang w:val="de-DE" w:eastAsia="de-DE"/>
              </w:rPr>
              <w:fldChar w:fldCharType="separate"/>
            </w:r>
            <w:r w:rsidR="00F82764" w:rsidRPr="00F82764">
              <w:rPr>
                <w:b/>
                <w:noProof/>
                <w:sz w:val="32"/>
                <w:lang w:val="de-DE" w:eastAsia="de-DE"/>
              </w:rPr>
              <w:t>1217/17</w:t>
            </w:r>
            <w:r w:rsidRPr="00542BE3">
              <w:rPr>
                <w:b/>
                <w:sz w:val="32"/>
                <w:lang w:val="de-DE" w:eastAsia="de-DE"/>
              </w:rPr>
              <w:fldChar w:fldCharType="end"/>
            </w:r>
          </w:p>
          <w:p w:rsidR="005756F4" w:rsidRDefault="002E52FA" w:rsidP="00640A5A">
            <w:pPr>
              <w:tabs>
                <w:tab w:val="right" w:pos="9072"/>
              </w:tabs>
              <w:ind w:left="120"/>
            </w:pPr>
            <w:fldSimple w:instr=" MERGEFIELD  VOOST  \* MERGEFORMAT ">
              <w:r w:rsidR="00F82764" w:rsidRPr="00FC4F99">
                <w:rPr>
                  <w:noProof/>
                </w:rPr>
                <w:t>öffentlich</w:t>
              </w:r>
            </w:fldSimple>
          </w:p>
        </w:tc>
      </w:tr>
      <w:tr w:rsidR="005756F4" w:rsidTr="004A6BCE">
        <w:trPr>
          <w:trHeight w:val="7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F4" w:rsidRDefault="005756F4" w:rsidP="00963738">
            <w:pPr>
              <w:tabs>
                <w:tab w:val="left" w:pos="1490"/>
                <w:tab w:val="right" w:pos="9072"/>
              </w:tabs>
              <w:spacing w:before="120" w:after="1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MERGEFIELD VOBETR \* MERGEFORMAT </w:instrText>
            </w:r>
            <w:r>
              <w:rPr>
                <w:b/>
                <w:sz w:val="28"/>
              </w:rPr>
              <w:fldChar w:fldCharType="separate"/>
            </w:r>
            <w:r w:rsidR="00F82764" w:rsidRPr="00FC4F99">
              <w:rPr>
                <w:b/>
                <w:noProof/>
                <w:sz w:val="28"/>
              </w:rPr>
              <w:t>Mehrweg statt Einweg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9C056D" w:rsidRPr="00640A5A" w:rsidTr="004A6B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23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C056D" w:rsidRPr="004A6BCE" w:rsidRDefault="009C056D" w:rsidP="004A6BCE">
            <w:pPr>
              <w:tabs>
                <w:tab w:val="right" w:pos="9072"/>
              </w:tabs>
              <w:ind w:right="-71"/>
              <w:rPr>
                <w:b/>
              </w:rPr>
            </w:pPr>
            <w:r w:rsidRPr="004A6BCE">
              <w:rPr>
                <w:b/>
              </w:rPr>
              <w:t>Beratungsfolge:</w:t>
            </w:r>
          </w:p>
        </w:tc>
      </w:tr>
      <w:tr w:rsidR="009C0287" w:rsidRPr="00640A5A" w:rsidTr="004A6B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7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56D" w:rsidRPr="00640A5A" w:rsidRDefault="009C056D" w:rsidP="004A6BCE">
            <w:pPr>
              <w:tabs>
                <w:tab w:val="left" w:pos="1418"/>
                <w:tab w:val="right" w:pos="9144"/>
              </w:tabs>
              <w:rPr>
                <w:b/>
                <w:iCs/>
              </w:rPr>
            </w:pPr>
            <w:r w:rsidRPr="00640A5A">
              <w:rPr>
                <w:b/>
                <w:iCs/>
              </w:rPr>
              <w:t>Status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56D" w:rsidRPr="00640A5A" w:rsidRDefault="009C056D" w:rsidP="004A6BCE">
            <w:pPr>
              <w:tabs>
                <w:tab w:val="left" w:pos="1418"/>
                <w:tab w:val="right" w:pos="9144"/>
              </w:tabs>
              <w:ind w:left="72" w:firstLine="133"/>
              <w:rPr>
                <w:b/>
                <w:iCs/>
              </w:rPr>
            </w:pPr>
            <w:r w:rsidRPr="00640A5A">
              <w:rPr>
                <w:b/>
                <w:iCs/>
              </w:rPr>
              <w:t>Datum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56D" w:rsidRPr="00640A5A" w:rsidRDefault="009C056D" w:rsidP="004A6BCE">
            <w:pPr>
              <w:tabs>
                <w:tab w:val="left" w:pos="1418"/>
                <w:tab w:val="right" w:pos="9144"/>
              </w:tabs>
              <w:ind w:left="72" w:hanging="50"/>
              <w:rPr>
                <w:b/>
                <w:iCs/>
              </w:rPr>
            </w:pPr>
            <w:r w:rsidRPr="00640A5A">
              <w:rPr>
                <w:b/>
                <w:iCs/>
              </w:rPr>
              <w:t>Gremium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56D" w:rsidRPr="00640A5A" w:rsidRDefault="009C056D" w:rsidP="004A6BCE">
            <w:pPr>
              <w:tabs>
                <w:tab w:val="left" w:pos="1418"/>
                <w:tab w:val="right" w:pos="9144"/>
              </w:tabs>
              <w:ind w:left="73"/>
              <w:rPr>
                <w:b/>
                <w:iCs/>
              </w:rPr>
            </w:pPr>
            <w:r w:rsidRPr="00640A5A">
              <w:rPr>
                <w:b/>
                <w:iCs/>
              </w:rPr>
              <w:t>Zuständigkeit</w:t>
            </w:r>
          </w:p>
        </w:tc>
      </w:tr>
    </w:tbl>
    <w:p w:rsidR="0032173D" w:rsidRPr="0032173D" w:rsidRDefault="0032173D" w:rsidP="00D919A6">
      <w:pPr>
        <w:tabs>
          <w:tab w:val="right" w:pos="9356"/>
        </w:tabs>
        <w:rPr>
          <w:rFonts w:cs="Arial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461"/>
        <w:gridCol w:w="4068"/>
        <w:gridCol w:w="2458"/>
      </w:tblGrid>
      <w:tr w:rsidR="00F82764" w:rsidTr="00BB6395">
        <w:trPr>
          <w:cantSplit/>
        </w:trPr>
        <w:tc>
          <w:tcPr>
            <w:tcW w:w="802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Öffentlich</w:t>
            </w:r>
          </w:p>
        </w:tc>
        <w:tc>
          <w:tcPr>
            <w:tcW w:w="768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05.12.2017</w:t>
            </w:r>
          </w:p>
        </w:tc>
        <w:tc>
          <w:tcPr>
            <w:tcW w:w="2138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Umwelt- und Klimaschutzausschuss</w:t>
            </w:r>
          </w:p>
        </w:tc>
        <w:tc>
          <w:tcPr>
            <w:tcW w:w="1292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Beschlussvorbereitung</w:t>
            </w:r>
          </w:p>
        </w:tc>
      </w:tr>
      <w:tr w:rsidR="00F82764" w:rsidTr="00BB6395">
        <w:trPr>
          <w:cantSplit/>
        </w:trPr>
        <w:tc>
          <w:tcPr>
            <w:tcW w:w="802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Öffentlich</w:t>
            </w:r>
          </w:p>
        </w:tc>
        <w:tc>
          <w:tcPr>
            <w:tcW w:w="768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12.12.2017</w:t>
            </w:r>
          </w:p>
        </w:tc>
        <w:tc>
          <w:tcPr>
            <w:tcW w:w="2138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Betriebsausschuss SRB</w:t>
            </w:r>
          </w:p>
        </w:tc>
        <w:tc>
          <w:tcPr>
            <w:tcW w:w="1292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Beschlussvorbereitung</w:t>
            </w:r>
          </w:p>
        </w:tc>
      </w:tr>
      <w:tr w:rsidR="00F82764" w:rsidTr="00BB6395">
        <w:trPr>
          <w:cantSplit/>
        </w:trPr>
        <w:tc>
          <w:tcPr>
            <w:tcW w:w="802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Nichtöffentlich</w:t>
            </w:r>
          </w:p>
        </w:tc>
        <w:tc>
          <w:tcPr>
            <w:tcW w:w="768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19.12.2017</w:t>
            </w:r>
          </w:p>
        </w:tc>
        <w:tc>
          <w:tcPr>
            <w:tcW w:w="2138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Verwaltungsausschuss</w:t>
            </w:r>
          </w:p>
        </w:tc>
        <w:tc>
          <w:tcPr>
            <w:tcW w:w="1292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Beschlussvorbereitung</w:t>
            </w:r>
          </w:p>
        </w:tc>
      </w:tr>
      <w:tr w:rsidR="00F82764" w:rsidTr="00BB6395">
        <w:trPr>
          <w:cantSplit/>
        </w:trPr>
        <w:tc>
          <w:tcPr>
            <w:tcW w:w="802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bookmarkStart w:id="0" w:name="Zuständigkeit" w:colFirst="3" w:colLast="3"/>
            <w:bookmarkStart w:id="1" w:name="Gremium" w:colFirst="2" w:colLast="2"/>
            <w:bookmarkStart w:id="2" w:name="Vormerkungsdatum" w:colFirst="1" w:colLast="1"/>
            <w:bookmarkStart w:id="3" w:name="Öffentlich" w:colFirst="0" w:colLast="0"/>
            <w:r>
              <w:rPr>
                <w:rFonts w:cs="Arial"/>
                <w:sz w:val="20"/>
                <w:szCs w:val="20"/>
              </w:rPr>
              <w:t>Öffentlich</w:t>
            </w:r>
          </w:p>
        </w:tc>
        <w:tc>
          <w:tcPr>
            <w:tcW w:w="768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20.12.2017</w:t>
            </w:r>
          </w:p>
        </w:tc>
        <w:tc>
          <w:tcPr>
            <w:tcW w:w="2138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Rat der Stadt Salzgitter</w:t>
            </w:r>
          </w:p>
        </w:tc>
        <w:tc>
          <w:tcPr>
            <w:tcW w:w="1292" w:type="pct"/>
            <w:vAlign w:val="center"/>
          </w:tcPr>
          <w:p w:rsidR="00F82764" w:rsidRDefault="00F82764" w:rsidP="00BB6395">
            <w:pPr>
              <w:tabs>
                <w:tab w:val="left" w:pos="141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Entscheidung</w:t>
            </w:r>
          </w:p>
        </w:tc>
      </w:tr>
    </w:tbl>
    <w:p w:rsidR="00DA74CB" w:rsidRPr="0009458F" w:rsidRDefault="00DA74CB" w:rsidP="0009458F">
      <w:pPr>
        <w:tabs>
          <w:tab w:val="right" w:pos="9072"/>
        </w:tabs>
        <w:rPr>
          <w:rFonts w:cs="Arial"/>
        </w:rPr>
      </w:pPr>
      <w:bookmarkStart w:id="4" w:name="Beratungsfolge"/>
      <w:bookmarkEnd w:id="0"/>
      <w:bookmarkEnd w:id="1"/>
      <w:bookmarkEnd w:id="2"/>
      <w:bookmarkEnd w:id="3"/>
      <w:bookmarkEnd w:id="4"/>
    </w:p>
    <w:p w:rsidR="00DA74CB" w:rsidRPr="0009458F" w:rsidRDefault="00DA74CB" w:rsidP="0009458F">
      <w:pPr>
        <w:tabs>
          <w:tab w:val="right" w:pos="9072"/>
        </w:tabs>
        <w:rPr>
          <w:rFonts w:cs="Arial"/>
        </w:rPr>
      </w:pPr>
    </w:p>
    <w:p w:rsidR="00F82764" w:rsidRDefault="00F82764" w:rsidP="00BB6395">
      <w:pPr>
        <w:pStyle w:val="Teilberschrift"/>
      </w:pPr>
      <w:bookmarkStart w:id="5" w:name="Beschlußvorschlag"/>
      <w:bookmarkStart w:id="6" w:name="Beschlußvorschlag_Beginn"/>
      <w:bookmarkEnd w:id="5"/>
      <w:bookmarkEnd w:id="6"/>
      <w:permStart w:id="765663988" w:edGrp="everyone"/>
      <w:r>
        <w:t>Beschlussvorschlag:</w:t>
      </w:r>
    </w:p>
    <w:p w:rsidR="00BB6395" w:rsidRDefault="00BB6395" w:rsidP="00BB639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B2975">
        <w:rPr>
          <w:rFonts w:ascii="Arial" w:hAnsi="Arial" w:cs="Arial"/>
          <w:sz w:val="24"/>
          <w:szCs w:val="24"/>
        </w:rPr>
        <w:t>Die Stadtverwaltung erarbeitet in Zusammenarbeit mit dem SRB und de</w:t>
      </w:r>
      <w:r>
        <w:rPr>
          <w:rFonts w:ascii="Arial" w:hAnsi="Arial" w:cs="Arial"/>
          <w:sz w:val="24"/>
          <w:szCs w:val="24"/>
        </w:rPr>
        <w:t>n</w:t>
      </w:r>
      <w:r w:rsidRPr="00CB29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Werbegemeinschaften Salzgitter</w:t>
      </w:r>
      <w:r w:rsidRPr="00CB29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Bad und </w:t>
      </w:r>
      <w:proofErr w:type="spellStart"/>
      <w:r>
        <w:rPr>
          <w:rFonts w:ascii="Arial" w:hAnsi="Arial" w:cs="Arial"/>
          <w:sz w:val="24"/>
          <w:szCs w:val="24"/>
        </w:rPr>
        <w:t>Lebenstedt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B2975">
        <w:rPr>
          <w:rFonts w:ascii="Arial" w:hAnsi="Arial" w:cs="Arial"/>
          <w:sz w:val="24"/>
          <w:szCs w:val="24"/>
        </w:rPr>
        <w:t>ein Konzept zur Vermeidun</w:t>
      </w:r>
      <w:bookmarkStart w:id="7" w:name="_GoBack"/>
      <w:bookmarkEnd w:id="7"/>
      <w:r w:rsidRPr="00CB2975">
        <w:rPr>
          <w:rFonts w:ascii="Arial" w:hAnsi="Arial" w:cs="Arial"/>
          <w:sz w:val="24"/>
          <w:szCs w:val="24"/>
        </w:rPr>
        <w:t xml:space="preserve">g von Müll aus Einwegtrinkbechern insbesondere bei Coffee </w:t>
      </w:r>
      <w:proofErr w:type="spellStart"/>
      <w:r w:rsidRPr="00CB2975">
        <w:rPr>
          <w:rFonts w:ascii="Arial" w:hAnsi="Arial" w:cs="Arial"/>
          <w:sz w:val="24"/>
          <w:szCs w:val="24"/>
        </w:rPr>
        <w:t>to</w:t>
      </w:r>
      <w:proofErr w:type="spellEnd"/>
      <w:r w:rsidRPr="00CB29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2975">
        <w:rPr>
          <w:rFonts w:ascii="Arial" w:hAnsi="Arial" w:cs="Arial"/>
          <w:sz w:val="24"/>
          <w:szCs w:val="24"/>
        </w:rPr>
        <w:t>go</w:t>
      </w:r>
      <w:proofErr w:type="spellEnd"/>
      <w:r w:rsidRPr="00CB2975">
        <w:rPr>
          <w:rFonts w:ascii="Arial" w:hAnsi="Arial" w:cs="Arial"/>
          <w:sz w:val="24"/>
          <w:szCs w:val="24"/>
        </w:rPr>
        <w:t xml:space="preserve"> mit dem Ziel, die Mehrwegquote </w:t>
      </w:r>
      <w:r>
        <w:rPr>
          <w:rFonts w:ascii="Arial" w:hAnsi="Arial" w:cs="Arial"/>
          <w:sz w:val="24"/>
          <w:szCs w:val="24"/>
        </w:rPr>
        <w:t xml:space="preserve">bis Ende 2018 </w:t>
      </w:r>
      <w:r w:rsidRPr="00CB2975">
        <w:rPr>
          <w:rFonts w:ascii="Arial" w:hAnsi="Arial" w:cs="Arial"/>
          <w:sz w:val="24"/>
          <w:szCs w:val="24"/>
        </w:rPr>
        <w:t>auf 100% zu steigern.</w:t>
      </w:r>
      <w:r>
        <w:rPr>
          <w:rFonts w:ascii="Arial" w:hAnsi="Arial" w:cs="Arial"/>
          <w:sz w:val="24"/>
          <w:szCs w:val="24"/>
        </w:rPr>
        <w:t xml:space="preserve"> Möglich wäre dabei die Einführung eines </w:t>
      </w:r>
      <w:proofErr w:type="spellStart"/>
      <w:r>
        <w:rPr>
          <w:rFonts w:ascii="Arial" w:hAnsi="Arial" w:cs="Arial"/>
          <w:sz w:val="24"/>
          <w:szCs w:val="24"/>
        </w:rPr>
        <w:t>bepfandeten</w:t>
      </w:r>
      <w:proofErr w:type="spellEnd"/>
      <w:r>
        <w:rPr>
          <w:rFonts w:ascii="Arial" w:hAnsi="Arial" w:cs="Arial"/>
          <w:sz w:val="24"/>
          <w:szCs w:val="24"/>
        </w:rPr>
        <w:t xml:space="preserve"> Mehrweg-„Salzgitter-Bechers“ u.a. auch als Werbemaßnahme der Stadt.</w:t>
      </w:r>
    </w:p>
    <w:p w:rsidR="00BB6395" w:rsidRPr="00CB2975" w:rsidRDefault="00BB6395" w:rsidP="00BB639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B2975">
        <w:rPr>
          <w:rFonts w:ascii="Arial" w:hAnsi="Arial" w:cs="Arial"/>
          <w:sz w:val="24"/>
          <w:szCs w:val="24"/>
        </w:rPr>
        <w:t>Übergangsweise soll ei</w:t>
      </w:r>
      <w:r>
        <w:rPr>
          <w:rFonts w:ascii="Arial" w:hAnsi="Arial" w:cs="Arial"/>
          <w:sz w:val="24"/>
          <w:szCs w:val="24"/>
        </w:rPr>
        <w:t>ne Umweltabgabe von 25 Cent je Einwegbecher erhoben werden.</w:t>
      </w:r>
    </w:p>
    <w:p w:rsidR="004B5C24" w:rsidRDefault="00F93BCF" w:rsidP="00F82764">
      <w:r>
        <w:t xml:space="preserve"> </w:t>
      </w:r>
      <w:permEnd w:id="765663988"/>
      <w:r>
        <w:t xml:space="preserve"> </w:t>
      </w:r>
      <w:bookmarkStart w:id="8" w:name="Beschlußvorschlag_Ende"/>
      <w:bookmarkEnd w:id="8"/>
    </w:p>
    <w:p w:rsidR="008F39BA" w:rsidRPr="0009458F" w:rsidRDefault="008F39BA" w:rsidP="0009458F">
      <w:pPr>
        <w:tabs>
          <w:tab w:val="right" w:pos="9072"/>
        </w:tabs>
      </w:pPr>
    </w:p>
    <w:p w:rsidR="00F82764" w:rsidRPr="005F1A86" w:rsidRDefault="00F82764">
      <w:pPr>
        <w:widowControl w:val="0"/>
        <w:autoSpaceDE w:val="0"/>
        <w:autoSpaceDN w:val="0"/>
        <w:adjustRightInd w:val="0"/>
        <w:rPr>
          <w:rFonts w:cs="Arial"/>
          <w:bCs/>
        </w:rPr>
      </w:pPr>
      <w:bookmarkStart w:id="9" w:name="Sachverhalt"/>
      <w:bookmarkStart w:id="10" w:name="Sachverhalt_Beginn"/>
      <w:bookmarkEnd w:id="9"/>
      <w:bookmarkEnd w:id="10"/>
      <w:permStart w:id="911737426" w:edGrp="everyone"/>
      <w:r>
        <w:rPr>
          <w:rFonts w:cs="Arial"/>
          <w:b/>
          <w:bCs/>
        </w:rPr>
        <w:t>Sachverhalt: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br/>
      </w:r>
    </w:p>
    <w:p w:rsidR="00BB6395" w:rsidRPr="00BB6395" w:rsidRDefault="00BB6395" w:rsidP="00BB6395">
      <w:pPr>
        <w:spacing w:after="160" w:line="259" w:lineRule="auto"/>
        <w:jc w:val="left"/>
        <w:rPr>
          <w:rFonts w:eastAsia="Calibri" w:cs="Arial"/>
          <w:lang w:eastAsia="en-US"/>
        </w:rPr>
      </w:pPr>
      <w:r w:rsidRPr="00BB6395">
        <w:rPr>
          <w:rFonts w:eastAsia="Calibri" w:cs="Arial"/>
          <w:lang w:eastAsia="en-US"/>
        </w:rPr>
        <w:t xml:space="preserve">Jedes Jahr werden in Deutschland 3 Milliarden Coffee </w:t>
      </w:r>
      <w:proofErr w:type="spellStart"/>
      <w:r w:rsidRPr="00BB6395">
        <w:rPr>
          <w:rFonts w:eastAsia="Calibri" w:cs="Arial"/>
          <w:lang w:eastAsia="en-US"/>
        </w:rPr>
        <w:t>to</w:t>
      </w:r>
      <w:proofErr w:type="spellEnd"/>
      <w:r w:rsidRPr="00BB6395">
        <w:rPr>
          <w:rFonts w:eastAsia="Calibri" w:cs="Arial"/>
          <w:lang w:eastAsia="en-US"/>
        </w:rPr>
        <w:t xml:space="preserve"> </w:t>
      </w:r>
      <w:proofErr w:type="spellStart"/>
      <w:r w:rsidRPr="00BB6395">
        <w:rPr>
          <w:rFonts w:eastAsia="Calibri" w:cs="Arial"/>
          <w:lang w:eastAsia="en-US"/>
        </w:rPr>
        <w:t>go</w:t>
      </w:r>
      <w:proofErr w:type="spellEnd"/>
      <w:r w:rsidRPr="00BB6395">
        <w:rPr>
          <w:rFonts w:eastAsia="Calibri" w:cs="Arial"/>
          <w:lang w:eastAsia="en-US"/>
        </w:rPr>
        <w:t xml:space="preserve"> –Einwegbecher in den Müll oder auf die Straße geschmissen. Dieses Müllaufkommen schadet der Umwelt u</w:t>
      </w:r>
      <w:r>
        <w:rPr>
          <w:rFonts w:eastAsia="Calibri" w:cs="Arial"/>
          <w:lang w:eastAsia="en-US"/>
        </w:rPr>
        <w:t>nd kostet die Stadt jedes Jahr viel Geld.</w:t>
      </w:r>
    </w:p>
    <w:p w:rsidR="00BB6395" w:rsidRPr="00BB6395" w:rsidRDefault="00BB6395" w:rsidP="00BB6395">
      <w:pPr>
        <w:spacing w:after="160" w:line="259" w:lineRule="auto"/>
        <w:jc w:val="left"/>
        <w:rPr>
          <w:rFonts w:eastAsia="Calibri" w:cs="Arial"/>
          <w:lang w:eastAsia="en-US"/>
        </w:rPr>
      </w:pPr>
      <w:r w:rsidRPr="00BB6395">
        <w:rPr>
          <w:rFonts w:eastAsia="Calibri" w:cs="Arial"/>
          <w:lang w:eastAsia="en-US"/>
        </w:rPr>
        <w:t>In Freiburg wurde 2016 der „Freiburg Cup“ als Mehrwegpfandbecher mit Erfolg eingeführt.</w:t>
      </w:r>
      <w:r>
        <w:rPr>
          <w:rFonts w:eastAsia="Calibri" w:cs="Arial"/>
          <w:lang w:eastAsia="en-US"/>
        </w:rPr>
        <w:t xml:space="preserve"> S. www.freiburgcup.de</w:t>
      </w:r>
    </w:p>
    <w:p w:rsidR="00BB6395" w:rsidRPr="00BB6395" w:rsidRDefault="00BB6395" w:rsidP="00BB6395">
      <w:pPr>
        <w:spacing w:after="160" w:line="259" w:lineRule="auto"/>
        <w:jc w:val="left"/>
        <w:rPr>
          <w:rFonts w:eastAsia="Calibri" w:cs="Arial"/>
          <w:lang w:eastAsia="en-US"/>
        </w:rPr>
      </w:pPr>
      <w:r w:rsidRPr="00BB6395">
        <w:rPr>
          <w:rFonts w:eastAsia="Calibri" w:cs="Arial"/>
          <w:lang w:eastAsia="en-US"/>
        </w:rPr>
        <w:t xml:space="preserve">Laut dem 2017 vom Rat beschlossenen „Umweltbericht Salzgitter 2015“ gibt es eine Rangfolge des Umgangs mit Müll. An erster Stelle steht die Vermeidung (also </w:t>
      </w:r>
      <w:proofErr w:type="spellStart"/>
      <w:r w:rsidRPr="00BB6395">
        <w:rPr>
          <w:rFonts w:eastAsia="Calibri" w:cs="Arial"/>
          <w:lang w:eastAsia="en-US"/>
        </w:rPr>
        <w:t>Mehrweg</w:t>
      </w:r>
      <w:proofErr w:type="spellEnd"/>
      <w:r w:rsidRPr="00BB6395">
        <w:rPr>
          <w:rFonts w:eastAsia="Calibri" w:cs="Arial"/>
          <w:lang w:eastAsia="en-US"/>
        </w:rPr>
        <w:t xml:space="preserve"> statt Einweg), an zweiter Stelle das Recycling und erst an letzter Stelle die Beseitigung von Müll.</w:t>
      </w:r>
    </w:p>
    <w:p w:rsidR="004B5C24" w:rsidRDefault="00F93BCF" w:rsidP="0009458F">
      <w:pPr>
        <w:tabs>
          <w:tab w:val="right" w:pos="9072"/>
        </w:tabs>
      </w:pPr>
      <w:r>
        <w:t xml:space="preserve">  </w:t>
      </w:r>
      <w:permEnd w:id="911737426"/>
      <w:r>
        <w:t xml:space="preserve"> </w:t>
      </w:r>
      <w:bookmarkStart w:id="11" w:name="Sachverhalt_Ende"/>
      <w:bookmarkEnd w:id="11"/>
    </w:p>
    <w:p w:rsidR="008F39BA" w:rsidRPr="0009458F" w:rsidRDefault="008F39BA" w:rsidP="0009458F">
      <w:pPr>
        <w:tabs>
          <w:tab w:val="right" w:pos="9072"/>
        </w:tabs>
      </w:pPr>
    </w:p>
    <w:p w:rsidR="00F82764" w:rsidRDefault="00F82764">
      <w:pPr>
        <w:widowControl w:val="0"/>
        <w:autoSpaceDE w:val="0"/>
        <w:autoSpaceDN w:val="0"/>
        <w:adjustRightInd w:val="0"/>
        <w:rPr>
          <w:rFonts w:cs="Arial"/>
          <w:u w:val="single"/>
        </w:rPr>
      </w:pPr>
      <w:bookmarkStart w:id="12" w:name="Anlage"/>
      <w:bookmarkStart w:id="13" w:name="Anlage_Beginn"/>
      <w:bookmarkEnd w:id="12"/>
      <w:bookmarkEnd w:id="13"/>
      <w:permStart w:id="255854595" w:edGrp="everyone"/>
      <w:r>
        <w:rPr>
          <w:rFonts w:cs="Arial"/>
          <w:b/>
          <w:bCs/>
        </w:rPr>
        <w:t>Anlagen:</w:t>
      </w:r>
    </w:p>
    <w:p w:rsidR="00F82764" w:rsidRDefault="00F82764">
      <w:pPr>
        <w:widowControl w:val="0"/>
        <w:autoSpaceDE w:val="0"/>
        <w:autoSpaceDN w:val="0"/>
        <w:adjustRightInd w:val="0"/>
        <w:rPr>
          <w:rFonts w:cs="Arial"/>
        </w:rPr>
      </w:pPr>
    </w:p>
    <w:p w:rsidR="00F82764" w:rsidRDefault="00A31A8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Freiburg-Cup</w:t>
      </w:r>
    </w:p>
    <w:p w:rsidR="00CE2B6D" w:rsidRDefault="00F93BCF" w:rsidP="0009458F">
      <w:pPr>
        <w:tabs>
          <w:tab w:val="right" w:pos="9072"/>
        </w:tabs>
      </w:pPr>
      <w:r>
        <w:t xml:space="preserve"> </w:t>
      </w:r>
      <w:permEnd w:id="255854595"/>
      <w:r>
        <w:t xml:space="preserve"> </w:t>
      </w:r>
      <w:bookmarkStart w:id="14" w:name="Anlage_Ende"/>
      <w:bookmarkEnd w:id="14"/>
    </w:p>
    <w:p w:rsidR="0009458F" w:rsidRDefault="0009458F" w:rsidP="0009458F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3B3B40" w:rsidRPr="003B3B40" w:rsidRDefault="003B3B40" w:rsidP="003B3B40">
      <w:pPr>
        <w:pStyle w:val="Kopfzeile"/>
        <w:tabs>
          <w:tab w:val="clear" w:pos="4536"/>
          <w:tab w:val="clear" w:pos="9072"/>
          <w:tab w:val="left" w:pos="5540"/>
        </w:tabs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MERGEFIELD  VOVERF2  \* MERGEFORMAT </w:instrText>
      </w:r>
      <w:r>
        <w:rPr>
          <w:lang w:val="de-DE"/>
        </w:rPr>
        <w:fldChar w:fldCharType="separate"/>
      </w:r>
      <w:r w:rsidR="00F82764" w:rsidRPr="00F82764">
        <w:rPr>
          <w:noProof/>
          <w:lang w:val="de-DE"/>
        </w:rPr>
        <w:t xml:space="preserve">gez. </w:t>
      </w:r>
      <w:r w:rsidR="00F82764" w:rsidRPr="00FC4F99">
        <w:rPr>
          <w:noProof/>
        </w:rPr>
        <w:t>Fleischer</w:t>
      </w:r>
      <w:r>
        <w:rPr>
          <w:lang w:val="de-DE"/>
        </w:rPr>
        <w:fldChar w:fldCharType="end"/>
      </w:r>
      <w:r>
        <w:rPr>
          <w:lang w:val="de-DE"/>
        </w:rPr>
        <w:tab/>
      </w:r>
      <w:r>
        <w:rPr>
          <w:lang w:val="de-DE"/>
        </w:rPr>
        <w:fldChar w:fldCharType="begin"/>
      </w:r>
      <w:r>
        <w:rPr>
          <w:lang w:val="de-DE"/>
        </w:rPr>
        <w:instrText xml:space="preserve"> MERGEFIELD  VOVERF3  \* MERGEFORMAT </w:instrText>
      </w:r>
      <w:r>
        <w:rPr>
          <w:lang w:val="de-DE"/>
        </w:rPr>
        <w:fldChar w:fldCharType="end"/>
      </w:r>
    </w:p>
    <w:sectPr w:rsidR="003B3B40" w:rsidRPr="003B3B40" w:rsidSect="0032173D">
      <w:footerReference w:type="default" r:id="rId8"/>
      <w:pgSz w:w="11906" w:h="16838" w:code="9"/>
      <w:pgMar w:top="709" w:right="1304" w:bottom="1134" w:left="1304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FA" w:rsidRDefault="002E52FA">
      <w:r>
        <w:separator/>
      </w:r>
    </w:p>
  </w:endnote>
  <w:endnote w:type="continuationSeparator" w:id="0">
    <w:p w:rsidR="002E52FA" w:rsidRDefault="002E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395" w:rsidRDefault="00BB6395" w:rsidP="0055346D">
    <w:pPr>
      <w:pStyle w:val="Fuzeile"/>
      <w:tabs>
        <w:tab w:val="clear" w:pos="4536"/>
        <w:tab w:val="clear" w:pos="9072"/>
        <w:tab w:val="right" w:pos="8222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42E1E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FA" w:rsidRDefault="002E52FA">
      <w:r>
        <w:separator/>
      </w:r>
    </w:p>
  </w:footnote>
  <w:footnote w:type="continuationSeparator" w:id="0">
    <w:p w:rsidR="002E52FA" w:rsidRDefault="002E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BF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D33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0578C6"/>
    <w:multiLevelType w:val="hybridMultilevel"/>
    <w:tmpl w:val="01C67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Ley82jYlbX2puzTkVcIh/L/zX8=" w:salt="gF+GaPXjR3/78ZljRoAB0Q==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Lfdnr" w:val="447643"/>
    <w:docVar w:name="DoTyp" w:val="101"/>
    <w:docVar w:name="ObjLfdnr" w:val="22045"/>
    <w:docVar w:name="ObjType" w:val="Vorlage"/>
  </w:docVars>
  <w:rsids>
    <w:rsidRoot w:val="00F82764"/>
    <w:rsid w:val="00064365"/>
    <w:rsid w:val="00083077"/>
    <w:rsid w:val="0009458F"/>
    <w:rsid w:val="00127D05"/>
    <w:rsid w:val="001570A3"/>
    <w:rsid w:val="001C3F8B"/>
    <w:rsid w:val="001D1B1B"/>
    <w:rsid w:val="002415E1"/>
    <w:rsid w:val="00245B21"/>
    <w:rsid w:val="00251D1F"/>
    <w:rsid w:val="00260F77"/>
    <w:rsid w:val="0026301F"/>
    <w:rsid w:val="00282852"/>
    <w:rsid w:val="002A0541"/>
    <w:rsid w:val="002B1C4D"/>
    <w:rsid w:val="002B5552"/>
    <w:rsid w:val="002C403C"/>
    <w:rsid w:val="002E52FA"/>
    <w:rsid w:val="002F2F48"/>
    <w:rsid w:val="0032173D"/>
    <w:rsid w:val="00324123"/>
    <w:rsid w:val="00337464"/>
    <w:rsid w:val="003B3B40"/>
    <w:rsid w:val="003C2C6D"/>
    <w:rsid w:val="003C7D25"/>
    <w:rsid w:val="003E003A"/>
    <w:rsid w:val="003E4033"/>
    <w:rsid w:val="003F6E2F"/>
    <w:rsid w:val="00414A77"/>
    <w:rsid w:val="0044515F"/>
    <w:rsid w:val="00446735"/>
    <w:rsid w:val="00456262"/>
    <w:rsid w:val="004852CD"/>
    <w:rsid w:val="004A03D7"/>
    <w:rsid w:val="004A0924"/>
    <w:rsid w:val="004A6BCE"/>
    <w:rsid w:val="004B1CED"/>
    <w:rsid w:val="004B5C24"/>
    <w:rsid w:val="004C3AB2"/>
    <w:rsid w:val="004F014D"/>
    <w:rsid w:val="00503C4C"/>
    <w:rsid w:val="00524E63"/>
    <w:rsid w:val="00534746"/>
    <w:rsid w:val="00534EA3"/>
    <w:rsid w:val="00542BE3"/>
    <w:rsid w:val="00545247"/>
    <w:rsid w:val="0055346D"/>
    <w:rsid w:val="00560D42"/>
    <w:rsid w:val="00564CD0"/>
    <w:rsid w:val="00566EA6"/>
    <w:rsid w:val="005756F4"/>
    <w:rsid w:val="00575975"/>
    <w:rsid w:val="00593282"/>
    <w:rsid w:val="005C55CA"/>
    <w:rsid w:val="005F15FD"/>
    <w:rsid w:val="00614589"/>
    <w:rsid w:val="00640A5A"/>
    <w:rsid w:val="00642E1E"/>
    <w:rsid w:val="00656196"/>
    <w:rsid w:val="00661C72"/>
    <w:rsid w:val="006E5BDF"/>
    <w:rsid w:val="00734A3C"/>
    <w:rsid w:val="007C0649"/>
    <w:rsid w:val="007F0714"/>
    <w:rsid w:val="00810FAD"/>
    <w:rsid w:val="00821401"/>
    <w:rsid w:val="008867E9"/>
    <w:rsid w:val="008B6A82"/>
    <w:rsid w:val="008D0BB4"/>
    <w:rsid w:val="008F39BA"/>
    <w:rsid w:val="00904D6A"/>
    <w:rsid w:val="00912E25"/>
    <w:rsid w:val="009170EC"/>
    <w:rsid w:val="009360FE"/>
    <w:rsid w:val="00945046"/>
    <w:rsid w:val="00963738"/>
    <w:rsid w:val="009B1D19"/>
    <w:rsid w:val="009C0287"/>
    <w:rsid w:val="009C056D"/>
    <w:rsid w:val="009C6573"/>
    <w:rsid w:val="009D6FA7"/>
    <w:rsid w:val="009E614D"/>
    <w:rsid w:val="00A22BEF"/>
    <w:rsid w:val="00A31A8A"/>
    <w:rsid w:val="00A7363C"/>
    <w:rsid w:val="00AA5837"/>
    <w:rsid w:val="00AE59D4"/>
    <w:rsid w:val="00B00946"/>
    <w:rsid w:val="00B32DBF"/>
    <w:rsid w:val="00B54ABD"/>
    <w:rsid w:val="00B57279"/>
    <w:rsid w:val="00B6565B"/>
    <w:rsid w:val="00B92F03"/>
    <w:rsid w:val="00BB6395"/>
    <w:rsid w:val="00C0185A"/>
    <w:rsid w:val="00C01A96"/>
    <w:rsid w:val="00C06459"/>
    <w:rsid w:val="00C450A7"/>
    <w:rsid w:val="00C63514"/>
    <w:rsid w:val="00C75EDF"/>
    <w:rsid w:val="00CC02E3"/>
    <w:rsid w:val="00CE13FB"/>
    <w:rsid w:val="00CE2B6D"/>
    <w:rsid w:val="00D056EE"/>
    <w:rsid w:val="00D07206"/>
    <w:rsid w:val="00D14DB0"/>
    <w:rsid w:val="00D26BEA"/>
    <w:rsid w:val="00D566A1"/>
    <w:rsid w:val="00D67484"/>
    <w:rsid w:val="00D919A6"/>
    <w:rsid w:val="00DA74CB"/>
    <w:rsid w:val="00E14930"/>
    <w:rsid w:val="00E15436"/>
    <w:rsid w:val="00E2047B"/>
    <w:rsid w:val="00E42D73"/>
    <w:rsid w:val="00E630C8"/>
    <w:rsid w:val="00EB1A93"/>
    <w:rsid w:val="00EF0481"/>
    <w:rsid w:val="00EF17D8"/>
    <w:rsid w:val="00F154D2"/>
    <w:rsid w:val="00F31063"/>
    <w:rsid w:val="00F4517B"/>
    <w:rsid w:val="00F61945"/>
    <w:rsid w:val="00F82764"/>
    <w:rsid w:val="00F82B0C"/>
    <w:rsid w:val="00F85FF4"/>
    <w:rsid w:val="00F93BCF"/>
    <w:rsid w:val="00F9547B"/>
    <w:rsid w:val="00FD21D1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9DA6FE-82F6-427A-8281-B0BDE1D0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0F77"/>
    <w:pPr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3">
    <w:name w:val="heading 3"/>
    <w:basedOn w:val="Standard"/>
    <w:next w:val="Standard"/>
    <w:qFormat/>
    <w:pPr>
      <w:keepNext/>
      <w:ind w:left="425"/>
      <w:outlineLvl w:val="2"/>
    </w:p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120" w:after="60"/>
      <w:jc w:val="center"/>
      <w:textAlignment w:val="baseline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490"/>
      </w:tabs>
      <w:overflowPunct w:val="0"/>
      <w:autoSpaceDE w:val="0"/>
      <w:autoSpaceDN w:val="0"/>
      <w:adjustRightInd w:val="0"/>
      <w:spacing w:before="120" w:after="60"/>
      <w:textAlignment w:val="baseline"/>
      <w:outlineLvl w:val="4"/>
    </w:pPr>
    <w:rPr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styleId="Fuzeile">
    <w:name w:val="footer"/>
    <w:basedOn w:val="Standard"/>
    <w:rsid w:val="00560D4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553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matvorlage10pt">
    <w:name w:val="Formatvorlage 10 pt"/>
    <w:rsid w:val="00414A77"/>
    <w:rPr>
      <w:rFonts w:ascii="Arial" w:hAnsi="Arial"/>
      <w:sz w:val="20"/>
    </w:rPr>
  </w:style>
  <w:style w:type="character" w:customStyle="1" w:styleId="KopfzeileZchn">
    <w:name w:val="Kopfzeile Zchn"/>
    <w:link w:val="Kopfzeile"/>
    <w:rsid w:val="0009458F"/>
    <w:rPr>
      <w:sz w:val="24"/>
      <w:szCs w:val="24"/>
    </w:rPr>
  </w:style>
  <w:style w:type="paragraph" w:customStyle="1" w:styleId="Teilberschrift">
    <w:name w:val="Teilüberschrift"/>
    <w:basedOn w:val="Standard"/>
    <w:qFormat/>
    <w:rsid w:val="00F82764"/>
    <w:pPr>
      <w:widowControl w:val="0"/>
      <w:autoSpaceDE w:val="0"/>
      <w:autoSpaceDN w:val="0"/>
      <w:adjustRightInd w:val="0"/>
    </w:pPr>
    <w:rPr>
      <w:rFonts w:eastAsiaTheme="minorEastAsia" w:cs="Arial"/>
      <w:b/>
      <w:bCs/>
    </w:rPr>
  </w:style>
  <w:style w:type="paragraph" w:styleId="Listenabsatz">
    <w:name w:val="List Paragraph"/>
    <w:basedOn w:val="Standard"/>
    <w:uiPriority w:val="34"/>
    <w:qFormat/>
    <w:rsid w:val="00BB6395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1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1544</Characters>
  <Application>Microsoft Office Word</Application>
  <DocSecurity>12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Vorlagendokument</vt:lpstr>
    </vt:vector>
  </TitlesOfParts>
  <Company>Stadt Salzgitter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Vorlagendokument</dc:title>
  <dc:subject>1217/17</dc:subject>
  <dc:creator>faerber.k</dc:creator>
  <cp:keywords>Mehrweg statt Einweg</cp:keywords>
  <cp:lastModifiedBy>Felicitas Weck</cp:lastModifiedBy>
  <cp:revision>2</cp:revision>
  <cp:lastPrinted>2017-10-24T10:05:00Z</cp:lastPrinted>
  <dcterms:created xsi:type="dcterms:W3CDTF">2018-05-25T09:51:00Z</dcterms:created>
  <dcterms:modified xsi:type="dcterms:W3CDTF">2018-05-25T09:51:00Z</dcterms:modified>
</cp:coreProperties>
</file>